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23A36BA9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 xml:space="preserve">W BADMINTONIE </w:t>
      </w:r>
      <w:r w:rsidR="00186D86">
        <w:rPr>
          <w:rFonts w:ascii="Comic Sans MS" w:hAnsi="Comic Sans MS"/>
          <w:b/>
          <w:bCs/>
        </w:rPr>
        <w:t>CHŁOPCÓW</w:t>
      </w:r>
    </w:p>
    <w:p w14:paraId="4AF77C8A" w14:textId="79E3FC14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IGRZYSKA </w:t>
      </w:r>
      <w:r w:rsidR="00186D86">
        <w:rPr>
          <w:rFonts w:ascii="Comic Sans MS" w:hAnsi="Comic Sans MS"/>
          <w:b/>
          <w:bCs/>
        </w:rPr>
        <w:t>MŁODZIEŻY SZKOLNEJ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20F3CEEB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2D3A4C">
        <w:rPr>
          <w:rFonts w:ascii="Comic Sans MS" w:hAnsi="Comic Sans MS"/>
          <w:b/>
        </w:rPr>
        <w:t>3</w:t>
      </w:r>
      <w:r w:rsidR="00186D86">
        <w:rPr>
          <w:rFonts w:ascii="Comic Sans MS" w:hAnsi="Comic Sans MS"/>
          <w:b/>
        </w:rPr>
        <w:t>1</w:t>
      </w:r>
      <w:r w:rsidRPr="003943BD">
        <w:rPr>
          <w:rFonts w:ascii="Comic Sans MS" w:hAnsi="Comic Sans MS"/>
          <w:b/>
        </w:rPr>
        <w:t>.10.202</w:t>
      </w:r>
      <w:r w:rsidR="00670285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 xml:space="preserve"> r. (</w:t>
      </w:r>
      <w:r w:rsidR="00186D86">
        <w:rPr>
          <w:rFonts w:ascii="Comic Sans MS" w:hAnsi="Comic Sans MS"/>
          <w:b/>
        </w:rPr>
        <w:t>piątek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  <w:t>Hala OSiR w Lwówku, ul. Parkowa 2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08382554" w14:textId="4057EF35" w:rsidR="005B43A3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 xml:space="preserve">4. UCZESTNICY: w finale rejonu startują po 2 najlepsze drużyny </w:t>
      </w:r>
      <w:r w:rsidR="00186D86">
        <w:rPr>
          <w:rFonts w:ascii="Comic Sans MS" w:hAnsi="Comic Sans MS"/>
          <w:b/>
          <w:bCs/>
        </w:rPr>
        <w:t>chłopców</w:t>
      </w:r>
    </w:p>
    <w:p w14:paraId="20742061" w14:textId="08809435" w:rsidR="003943BD" w:rsidRPr="003943BD" w:rsidRDefault="003943BD" w:rsidP="003943BD">
      <w:pPr>
        <w:rPr>
          <w:rFonts w:ascii="Comic Sans MS" w:hAnsi="Comic Sans MS"/>
          <w:b/>
          <w:bCs/>
          <w:u w:val="single"/>
        </w:rPr>
      </w:pP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310A511A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  i przepisami Polskiego Związku Badmintona.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2883" w14:textId="77777777" w:rsidR="0057617F" w:rsidRDefault="0057617F">
      <w:r>
        <w:separator/>
      </w:r>
    </w:p>
  </w:endnote>
  <w:endnote w:type="continuationSeparator" w:id="0">
    <w:p w14:paraId="111F414A" w14:textId="77777777" w:rsidR="0057617F" w:rsidRDefault="0057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A9C7" w14:textId="77777777" w:rsidR="0057617F" w:rsidRDefault="0057617F">
      <w:r>
        <w:separator/>
      </w:r>
    </w:p>
  </w:footnote>
  <w:footnote w:type="continuationSeparator" w:id="0">
    <w:p w14:paraId="3F195105" w14:textId="77777777" w:rsidR="0057617F" w:rsidRDefault="0057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702F"/>
    <w:rsid w:val="002C09B6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6B3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C3CE1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75D6C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217</Words>
  <Characters>1525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54</cp:revision>
  <cp:lastPrinted>2025-10-31T12:06:00Z</cp:lastPrinted>
  <dcterms:created xsi:type="dcterms:W3CDTF">2024-02-22T09:00:00Z</dcterms:created>
  <dcterms:modified xsi:type="dcterms:W3CDTF">2025-10-31T12:31:00Z</dcterms:modified>
</cp:coreProperties>
</file>